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1821D3" w14:textId="21B8C959" w:rsidR="00AD4330" w:rsidRDefault="00AD4330" w:rsidP="00AD4330">
      <w:pPr>
        <w:spacing w:before="100" w:beforeAutospacing="1" w:after="100" w:afterAutospacing="1" w:line="480" w:lineRule="auto"/>
        <w:jc w:val="center"/>
        <w:outlineLvl w:val="2"/>
        <w:rPr>
          <w:rFonts w:ascii="Times New Roman" w:eastAsia="Times New Roman" w:hAnsi="Times New Roman" w:cs="Times New Roman"/>
          <w:b/>
          <w:bCs/>
          <w:kern w:val="0"/>
          <w:sz w:val="27"/>
          <w:szCs w:val="27"/>
          <w:lang w:eastAsia="en-GB"/>
          <w14:ligatures w14:val="none"/>
        </w:rPr>
      </w:pPr>
      <w:r>
        <w:rPr>
          <w:rFonts w:ascii="Times New Roman" w:eastAsia="Times New Roman" w:hAnsi="Times New Roman" w:cs="Times New Roman"/>
          <w:b/>
          <w:bCs/>
          <w:kern w:val="0"/>
          <w:sz w:val="27"/>
          <w:szCs w:val="27"/>
          <w:lang w:eastAsia="en-GB"/>
          <w14:ligatures w14:val="none"/>
        </w:rPr>
        <w:t xml:space="preserve">Guest Editorial: </w:t>
      </w:r>
      <w:r w:rsidRPr="00AD4330">
        <w:rPr>
          <w:rFonts w:ascii="Times New Roman" w:eastAsia="Times New Roman" w:hAnsi="Times New Roman" w:cs="Times New Roman"/>
          <w:b/>
          <w:bCs/>
          <w:kern w:val="0"/>
          <w:sz w:val="27"/>
          <w:szCs w:val="27"/>
          <w:lang w:eastAsia="en-GB"/>
          <w14:ligatures w14:val="none"/>
        </w:rPr>
        <w:t xml:space="preserve">Integrating Special Pathology and Laboratory Medicine into the </w:t>
      </w:r>
      <w:r>
        <w:rPr>
          <w:rFonts w:ascii="Times New Roman" w:eastAsia="Times New Roman" w:hAnsi="Times New Roman" w:cs="Times New Roman"/>
          <w:b/>
          <w:bCs/>
          <w:kern w:val="0"/>
          <w:sz w:val="27"/>
          <w:szCs w:val="27"/>
          <w:lang w:eastAsia="en-GB"/>
          <w14:ligatures w14:val="none"/>
        </w:rPr>
        <w:t xml:space="preserve">Transitional </w:t>
      </w:r>
      <w:r w:rsidRPr="00AD4330">
        <w:rPr>
          <w:rFonts w:ascii="Times New Roman" w:eastAsia="Times New Roman" w:hAnsi="Times New Roman" w:cs="Times New Roman"/>
          <w:b/>
          <w:bCs/>
          <w:kern w:val="0"/>
          <w:sz w:val="27"/>
          <w:szCs w:val="27"/>
          <w:lang w:eastAsia="en-GB"/>
          <w14:ligatures w14:val="none"/>
        </w:rPr>
        <w:t>Clerkship Model for 4th Year MBBS: A Strategic Educational Realignment</w:t>
      </w:r>
    </w:p>
    <w:p w14:paraId="56228A1A" w14:textId="02576DAA" w:rsidR="00B465A2" w:rsidRDefault="00B465A2" w:rsidP="00B465A2">
      <w:pPr>
        <w:spacing w:before="100" w:beforeAutospacing="1" w:after="100" w:afterAutospacing="1"/>
        <w:outlineLvl w:val="2"/>
        <w:rPr>
          <w:rFonts w:ascii="Times New Roman" w:eastAsia="Times New Roman" w:hAnsi="Times New Roman" w:cs="Times New Roman"/>
          <w:b/>
          <w:bCs/>
          <w:kern w:val="0"/>
          <w:sz w:val="27"/>
          <w:szCs w:val="27"/>
          <w:lang w:eastAsia="en-GB"/>
          <w14:ligatures w14:val="none"/>
        </w:rPr>
      </w:pPr>
      <w:r>
        <w:rPr>
          <w:rFonts w:ascii="Times New Roman" w:eastAsia="Times New Roman" w:hAnsi="Times New Roman" w:cs="Times New Roman"/>
          <w:b/>
          <w:bCs/>
          <w:kern w:val="0"/>
          <w:sz w:val="27"/>
          <w:szCs w:val="27"/>
          <w:lang w:eastAsia="en-GB"/>
          <w14:ligatures w14:val="none"/>
        </w:rPr>
        <w:t>Prof. Dr. Wafa Omer</w:t>
      </w:r>
    </w:p>
    <w:p w14:paraId="585DD65B" w14:textId="52A4B91C" w:rsidR="00B465A2" w:rsidRPr="00AD4330" w:rsidRDefault="00B465A2" w:rsidP="00B465A2">
      <w:pPr>
        <w:spacing w:before="100" w:beforeAutospacing="1" w:after="100" w:afterAutospacing="1"/>
        <w:outlineLvl w:val="2"/>
        <w:rPr>
          <w:rFonts w:ascii="Times New Roman" w:eastAsia="Times New Roman" w:hAnsi="Times New Roman" w:cs="Times New Roman"/>
          <w:b/>
          <w:bCs/>
          <w:kern w:val="0"/>
          <w:sz w:val="27"/>
          <w:szCs w:val="27"/>
          <w:lang w:eastAsia="en-GB"/>
          <w14:ligatures w14:val="none"/>
        </w:rPr>
      </w:pPr>
      <w:r>
        <w:rPr>
          <w:rFonts w:ascii="Times New Roman" w:eastAsia="Times New Roman" w:hAnsi="Times New Roman" w:cs="Times New Roman"/>
          <w:b/>
          <w:bCs/>
          <w:kern w:val="0"/>
          <w:sz w:val="27"/>
          <w:szCs w:val="27"/>
          <w:lang w:eastAsia="en-GB"/>
          <w14:ligatures w14:val="none"/>
        </w:rPr>
        <w:t>Professor of Pathology, Rawalpindi Medical University</w:t>
      </w:r>
    </w:p>
    <w:p w14:paraId="5AC7F159" w14:textId="7D1D8DC4" w:rsidR="00B465A2" w:rsidRPr="00B465A2" w:rsidRDefault="00B465A2" w:rsidP="00AD4330">
      <w:pPr>
        <w:spacing w:before="100" w:beforeAutospacing="1" w:after="100" w:afterAutospacing="1" w:line="480" w:lineRule="auto"/>
        <w:jc w:val="both"/>
        <w:rPr>
          <w:rFonts w:ascii="Times New Roman" w:eastAsia="Times New Roman" w:hAnsi="Times New Roman" w:cs="Times New Roman"/>
          <w:b/>
          <w:bCs/>
          <w:kern w:val="0"/>
          <w:sz w:val="28"/>
          <w:szCs w:val="28"/>
          <w:lang w:eastAsia="en-GB"/>
          <w14:ligatures w14:val="none"/>
        </w:rPr>
      </w:pPr>
      <w:r w:rsidRPr="00B465A2">
        <w:rPr>
          <w:rFonts w:ascii="Times New Roman" w:eastAsia="Times New Roman" w:hAnsi="Times New Roman" w:cs="Times New Roman"/>
          <w:b/>
          <w:bCs/>
          <w:kern w:val="0"/>
          <w:sz w:val="28"/>
          <w:szCs w:val="28"/>
          <w:lang w:eastAsia="en-GB"/>
          <w14:ligatures w14:val="none"/>
        </w:rPr>
        <w:t>Introduction:</w:t>
      </w:r>
    </w:p>
    <w:p w14:paraId="78D67078" w14:textId="4C160728" w:rsidR="00AD4330" w:rsidRPr="00AD4330" w:rsidRDefault="00AD4330" w:rsidP="00AD4330">
      <w:p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kern w:val="0"/>
          <w:lang w:eastAsia="en-GB"/>
          <w14:ligatures w14:val="none"/>
        </w:rPr>
        <w:t>The structure of medical education is critical in shaping competent and well-rounded physicians. In recent years, there has been growing recognition of the need to better integrate basic and clinical sciences throughout the medical curriculum</w:t>
      </w:r>
      <w:r w:rsidR="0036345A">
        <w:rPr>
          <w:rFonts w:ascii="Times New Roman" w:eastAsia="Times New Roman" w:hAnsi="Times New Roman" w:cs="Times New Roman"/>
          <w:kern w:val="0"/>
          <w:lang w:eastAsia="en-GB"/>
          <w14:ligatures w14:val="none"/>
        </w:rPr>
        <w:t>(1)</w:t>
      </w:r>
      <w:r w:rsidRPr="00AD4330">
        <w:rPr>
          <w:rFonts w:ascii="Times New Roman" w:eastAsia="Times New Roman" w:hAnsi="Times New Roman" w:cs="Times New Roman"/>
          <w:kern w:val="0"/>
          <w:lang w:eastAsia="en-GB"/>
          <w14:ligatures w14:val="none"/>
        </w:rPr>
        <w:t xml:space="preserve">. One area that demands such integration is pathology, particularly as we seek to enhance the role of Special Pathology and Laboratory Medicine within the 4th year MBBS </w:t>
      </w:r>
      <w:r>
        <w:rPr>
          <w:rFonts w:ascii="Times New Roman" w:eastAsia="Times New Roman" w:hAnsi="Times New Roman" w:cs="Times New Roman"/>
          <w:kern w:val="0"/>
          <w:lang w:eastAsia="en-GB"/>
          <w14:ligatures w14:val="none"/>
        </w:rPr>
        <w:t>Transitional C</w:t>
      </w:r>
      <w:r w:rsidRPr="00AD4330">
        <w:rPr>
          <w:rFonts w:ascii="Times New Roman" w:eastAsia="Times New Roman" w:hAnsi="Times New Roman" w:cs="Times New Roman"/>
          <w:kern w:val="0"/>
          <w:lang w:eastAsia="en-GB"/>
          <w14:ligatures w14:val="none"/>
        </w:rPr>
        <w:t>lerkship model</w:t>
      </w:r>
      <w:r w:rsidR="0036345A">
        <w:rPr>
          <w:rFonts w:ascii="Times New Roman" w:eastAsia="Times New Roman" w:hAnsi="Times New Roman" w:cs="Times New Roman"/>
          <w:kern w:val="0"/>
          <w:lang w:eastAsia="en-GB"/>
          <w14:ligatures w14:val="none"/>
        </w:rPr>
        <w:t xml:space="preserve"> (2)</w:t>
      </w:r>
      <w:r w:rsidRPr="00AD4330">
        <w:rPr>
          <w:rFonts w:ascii="Times New Roman" w:eastAsia="Times New Roman" w:hAnsi="Times New Roman" w:cs="Times New Roman"/>
          <w:kern w:val="0"/>
          <w:lang w:eastAsia="en-GB"/>
          <w14:ligatures w14:val="none"/>
        </w:rPr>
        <w:t>. This editorial outlines a strategic realignment that redistributes pathology and microbiology content across the MBBS program, culminating in a robust, practice-oriented clerkship in Laboratory Medicine for final-year students.</w:t>
      </w:r>
    </w:p>
    <w:p w14:paraId="55A59D1C" w14:textId="77777777" w:rsidR="00AD4330" w:rsidRPr="00AD4330" w:rsidRDefault="00AD4330" w:rsidP="00AD4330">
      <w:pPr>
        <w:spacing w:before="100" w:beforeAutospacing="1" w:after="100" w:afterAutospacing="1" w:line="480" w:lineRule="auto"/>
        <w:jc w:val="both"/>
        <w:outlineLvl w:val="2"/>
        <w:rPr>
          <w:rFonts w:ascii="Times New Roman" w:eastAsia="Times New Roman" w:hAnsi="Times New Roman" w:cs="Times New Roman"/>
          <w:b/>
          <w:bCs/>
          <w:kern w:val="0"/>
          <w:sz w:val="27"/>
          <w:szCs w:val="27"/>
          <w:lang w:eastAsia="en-GB"/>
          <w14:ligatures w14:val="none"/>
        </w:rPr>
      </w:pPr>
      <w:r w:rsidRPr="00AD4330">
        <w:rPr>
          <w:rFonts w:ascii="Times New Roman" w:eastAsia="Times New Roman" w:hAnsi="Times New Roman" w:cs="Times New Roman"/>
          <w:b/>
          <w:bCs/>
          <w:kern w:val="0"/>
          <w:sz w:val="27"/>
          <w:szCs w:val="27"/>
          <w:lang w:eastAsia="en-GB"/>
          <w14:ligatures w14:val="none"/>
        </w:rPr>
        <w:t>Redistributing Pathology and Microbiology Content</w:t>
      </w:r>
    </w:p>
    <w:p w14:paraId="4D891C34" w14:textId="51D94A67" w:rsidR="00AD4330" w:rsidRPr="00AD4330" w:rsidRDefault="00AD4330" w:rsidP="00AD4330">
      <w:p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kern w:val="0"/>
          <w:lang w:eastAsia="en-GB"/>
          <w14:ligatures w14:val="none"/>
        </w:rPr>
        <w:t>The traditional approach often separates basic sciences from clinical training, resulting in a disconnect between theory and practice</w:t>
      </w:r>
      <w:r w:rsidR="0036345A">
        <w:rPr>
          <w:rFonts w:ascii="Times New Roman" w:eastAsia="Times New Roman" w:hAnsi="Times New Roman" w:cs="Times New Roman"/>
          <w:kern w:val="0"/>
          <w:lang w:eastAsia="en-GB"/>
          <w14:ligatures w14:val="none"/>
        </w:rPr>
        <w:t>(3)</w:t>
      </w:r>
      <w:r w:rsidRPr="00AD4330">
        <w:rPr>
          <w:rFonts w:ascii="Times New Roman" w:eastAsia="Times New Roman" w:hAnsi="Times New Roman" w:cs="Times New Roman"/>
          <w:kern w:val="0"/>
          <w:lang w:eastAsia="en-GB"/>
          <w14:ligatures w14:val="none"/>
        </w:rPr>
        <w:t>. To address this, we propose the following redistribution:</w:t>
      </w:r>
    </w:p>
    <w:p w14:paraId="200BD959" w14:textId="77777777" w:rsidR="00AD4330" w:rsidRPr="00AD4330" w:rsidRDefault="00AD4330" w:rsidP="00AD4330">
      <w:pPr>
        <w:numPr>
          <w:ilvl w:val="0"/>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First and Second Year MBBS</w:t>
      </w:r>
      <w:r w:rsidRPr="00AD4330">
        <w:rPr>
          <w:rFonts w:ascii="Times New Roman" w:eastAsia="Times New Roman" w:hAnsi="Times New Roman" w:cs="Times New Roman"/>
          <w:kern w:val="0"/>
          <w:lang w:eastAsia="en-GB"/>
          <w14:ligatures w14:val="none"/>
        </w:rPr>
        <w:t>:</w:t>
      </w:r>
    </w:p>
    <w:p w14:paraId="019DF8BD" w14:textId="77777777" w:rsidR="00AD4330" w:rsidRPr="00AD4330" w:rsidRDefault="00AD4330" w:rsidP="00AD4330">
      <w:pPr>
        <w:numPr>
          <w:ilvl w:val="1"/>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General Pathology</w:t>
      </w:r>
      <w:r w:rsidRPr="00AD4330">
        <w:rPr>
          <w:rFonts w:ascii="Times New Roman" w:eastAsia="Times New Roman" w:hAnsi="Times New Roman" w:cs="Times New Roman"/>
          <w:kern w:val="0"/>
          <w:lang w:eastAsia="en-GB"/>
          <w14:ligatures w14:val="none"/>
        </w:rPr>
        <w:t>: Introduce and complete by the end of the second year.</w:t>
      </w:r>
    </w:p>
    <w:p w14:paraId="245C1020" w14:textId="253DEB46" w:rsidR="00AD4330" w:rsidRPr="00AD4330" w:rsidRDefault="00AD4330" w:rsidP="00AD4330">
      <w:pPr>
        <w:numPr>
          <w:ilvl w:val="1"/>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Microbiology (20%)</w:t>
      </w:r>
      <w:r w:rsidRPr="00AD4330">
        <w:rPr>
          <w:rFonts w:ascii="Times New Roman" w:eastAsia="Times New Roman" w:hAnsi="Times New Roman" w:cs="Times New Roman"/>
          <w:kern w:val="0"/>
          <w:lang w:eastAsia="en-GB"/>
          <w14:ligatures w14:val="none"/>
        </w:rPr>
        <w:t xml:space="preserve">: Cover foundational microbiology alongside </w:t>
      </w:r>
      <w:r>
        <w:rPr>
          <w:rFonts w:ascii="Times New Roman" w:eastAsia="Times New Roman" w:hAnsi="Times New Roman" w:cs="Times New Roman"/>
          <w:kern w:val="0"/>
          <w:lang w:eastAsia="en-GB"/>
          <w14:ligatures w14:val="none"/>
        </w:rPr>
        <w:t>G</w:t>
      </w:r>
      <w:r w:rsidRPr="00AD4330">
        <w:rPr>
          <w:rFonts w:ascii="Times New Roman" w:eastAsia="Times New Roman" w:hAnsi="Times New Roman" w:cs="Times New Roman"/>
          <w:kern w:val="0"/>
          <w:lang w:eastAsia="en-GB"/>
          <w14:ligatures w14:val="none"/>
        </w:rPr>
        <w:t>eneral pathology.</w:t>
      </w:r>
    </w:p>
    <w:p w14:paraId="7AE36E92" w14:textId="77777777" w:rsidR="00AD4330" w:rsidRPr="00AD4330" w:rsidRDefault="00AD4330" w:rsidP="00AD4330">
      <w:pPr>
        <w:numPr>
          <w:ilvl w:val="1"/>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lastRenderedPageBreak/>
        <w:t>Assessment</w:t>
      </w:r>
      <w:r w:rsidRPr="00AD4330">
        <w:rPr>
          <w:rFonts w:ascii="Times New Roman" w:eastAsia="Times New Roman" w:hAnsi="Times New Roman" w:cs="Times New Roman"/>
          <w:kern w:val="0"/>
          <w:lang w:eastAsia="en-GB"/>
          <w14:ligatures w14:val="none"/>
        </w:rPr>
        <w:t>: Conduct comprehensive assessments at the end of the second year, ensuring students have a solid understanding of these basic sciences before advancing.</w:t>
      </w:r>
    </w:p>
    <w:p w14:paraId="0215BF4E" w14:textId="77777777" w:rsidR="00AD4330" w:rsidRPr="00AD4330" w:rsidRDefault="00AD4330" w:rsidP="00AD4330">
      <w:pPr>
        <w:numPr>
          <w:ilvl w:val="0"/>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Third Year MBBS</w:t>
      </w:r>
      <w:r w:rsidRPr="00AD4330">
        <w:rPr>
          <w:rFonts w:ascii="Times New Roman" w:eastAsia="Times New Roman" w:hAnsi="Times New Roman" w:cs="Times New Roman"/>
          <w:kern w:val="0"/>
          <w:lang w:eastAsia="en-GB"/>
          <w14:ligatures w14:val="none"/>
        </w:rPr>
        <w:t>:</w:t>
      </w:r>
    </w:p>
    <w:p w14:paraId="1758D08E" w14:textId="77777777" w:rsidR="00AD4330" w:rsidRPr="00AD4330" w:rsidRDefault="00AD4330" w:rsidP="00AD4330">
      <w:pPr>
        <w:numPr>
          <w:ilvl w:val="1"/>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Special Pathology (50%)</w:t>
      </w:r>
      <w:r w:rsidRPr="00AD4330">
        <w:rPr>
          <w:rFonts w:ascii="Times New Roman" w:eastAsia="Times New Roman" w:hAnsi="Times New Roman" w:cs="Times New Roman"/>
          <w:kern w:val="0"/>
          <w:lang w:eastAsia="en-GB"/>
          <w14:ligatures w14:val="none"/>
        </w:rPr>
        <w:t>: Begin introducing more complex and specialized pathology concepts.</w:t>
      </w:r>
    </w:p>
    <w:p w14:paraId="45459A6D" w14:textId="77777777" w:rsidR="00AD4330" w:rsidRPr="00AD4330" w:rsidRDefault="00AD4330" w:rsidP="00AD4330">
      <w:pPr>
        <w:numPr>
          <w:ilvl w:val="1"/>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Microbiology (80%)</w:t>
      </w:r>
      <w:r w:rsidRPr="00AD4330">
        <w:rPr>
          <w:rFonts w:ascii="Times New Roman" w:eastAsia="Times New Roman" w:hAnsi="Times New Roman" w:cs="Times New Roman"/>
          <w:kern w:val="0"/>
          <w:lang w:eastAsia="en-GB"/>
          <w14:ligatures w14:val="none"/>
        </w:rPr>
        <w:t>: Deepen microbiological knowledge, building on the foundations laid in the first two years.</w:t>
      </w:r>
    </w:p>
    <w:p w14:paraId="1A4212FA" w14:textId="77777777" w:rsidR="00AD4330" w:rsidRPr="00AD4330" w:rsidRDefault="00AD4330" w:rsidP="00AD4330">
      <w:pPr>
        <w:numPr>
          <w:ilvl w:val="1"/>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Assessment</w:t>
      </w:r>
      <w:r w:rsidRPr="00AD4330">
        <w:rPr>
          <w:rFonts w:ascii="Times New Roman" w:eastAsia="Times New Roman" w:hAnsi="Times New Roman" w:cs="Times New Roman"/>
          <w:kern w:val="0"/>
          <w:lang w:eastAsia="en-GB"/>
          <w14:ligatures w14:val="none"/>
        </w:rPr>
        <w:t>: Perform evaluations at the end of the third year to gauge students’ proficiency in these areas, preparing them for the clinical challenges ahead.</w:t>
      </w:r>
    </w:p>
    <w:p w14:paraId="73DED051" w14:textId="77777777" w:rsidR="00AD4330" w:rsidRPr="00AD4330" w:rsidRDefault="00AD4330" w:rsidP="00AD4330">
      <w:pPr>
        <w:numPr>
          <w:ilvl w:val="0"/>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Fourth Year MBBS</w:t>
      </w:r>
      <w:r w:rsidRPr="00AD4330">
        <w:rPr>
          <w:rFonts w:ascii="Times New Roman" w:eastAsia="Times New Roman" w:hAnsi="Times New Roman" w:cs="Times New Roman"/>
          <w:kern w:val="0"/>
          <w:lang w:eastAsia="en-GB"/>
          <w14:ligatures w14:val="none"/>
        </w:rPr>
        <w:t>:</w:t>
      </w:r>
    </w:p>
    <w:p w14:paraId="45EAA8EA" w14:textId="77777777" w:rsidR="00AD4330" w:rsidRPr="00AD4330" w:rsidRDefault="00AD4330" w:rsidP="00AD4330">
      <w:pPr>
        <w:numPr>
          <w:ilvl w:val="1"/>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Special Pathology (50%) Transitioning into Laboratory Medicine</w:t>
      </w:r>
      <w:r w:rsidRPr="00AD4330">
        <w:rPr>
          <w:rFonts w:ascii="Times New Roman" w:eastAsia="Times New Roman" w:hAnsi="Times New Roman" w:cs="Times New Roman"/>
          <w:kern w:val="0"/>
          <w:lang w:eastAsia="en-GB"/>
          <w14:ligatures w14:val="none"/>
        </w:rPr>
        <w:t>: Modify and deliver the remaining special pathology content within a clinical context, emphasizing laboratory medicine.</w:t>
      </w:r>
    </w:p>
    <w:p w14:paraId="565EEBA7" w14:textId="77777777" w:rsidR="00AD4330" w:rsidRPr="00AD4330" w:rsidRDefault="00AD4330" w:rsidP="00AD4330">
      <w:pPr>
        <w:numPr>
          <w:ilvl w:val="1"/>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Clinical Clerkship in Laboratory Medicine</w:t>
      </w:r>
      <w:r w:rsidRPr="00AD4330">
        <w:rPr>
          <w:rFonts w:ascii="Times New Roman" w:eastAsia="Times New Roman" w:hAnsi="Times New Roman" w:cs="Times New Roman"/>
          <w:kern w:val="0"/>
          <w:lang w:eastAsia="en-GB"/>
          <w14:ligatures w14:val="none"/>
        </w:rPr>
        <w:t>: Implement a comprehensive clerkship model that integrates laboratory medicine practices, bridging the gap between pathology theory and clinical application.</w:t>
      </w:r>
    </w:p>
    <w:p w14:paraId="12834CEC" w14:textId="77777777" w:rsidR="00AD4330" w:rsidRPr="00AD4330" w:rsidRDefault="00AD4330" w:rsidP="00AD4330">
      <w:pPr>
        <w:numPr>
          <w:ilvl w:val="1"/>
          <w:numId w:val="1"/>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Assessment</w:t>
      </w:r>
      <w:r w:rsidRPr="00AD4330">
        <w:rPr>
          <w:rFonts w:ascii="Times New Roman" w:eastAsia="Times New Roman" w:hAnsi="Times New Roman" w:cs="Times New Roman"/>
          <w:kern w:val="0"/>
          <w:lang w:eastAsia="en-GB"/>
          <w14:ligatures w14:val="none"/>
        </w:rPr>
        <w:t>: Conclude with a rigorous assessment by the end of the fourth year, ensuring readiness for clinical practice.</w:t>
      </w:r>
    </w:p>
    <w:p w14:paraId="522AB8C0" w14:textId="77777777" w:rsidR="00AD4330" w:rsidRPr="00AD4330" w:rsidRDefault="00AD4330" w:rsidP="00AD4330">
      <w:pPr>
        <w:spacing w:before="100" w:beforeAutospacing="1" w:after="100" w:afterAutospacing="1" w:line="480" w:lineRule="auto"/>
        <w:jc w:val="both"/>
        <w:outlineLvl w:val="2"/>
        <w:rPr>
          <w:rFonts w:ascii="Times New Roman" w:eastAsia="Times New Roman" w:hAnsi="Times New Roman" w:cs="Times New Roman"/>
          <w:b/>
          <w:bCs/>
          <w:kern w:val="0"/>
          <w:sz w:val="27"/>
          <w:szCs w:val="27"/>
          <w:lang w:eastAsia="en-GB"/>
          <w14:ligatures w14:val="none"/>
        </w:rPr>
      </w:pPr>
      <w:r w:rsidRPr="00AD4330">
        <w:rPr>
          <w:rFonts w:ascii="Times New Roman" w:eastAsia="Times New Roman" w:hAnsi="Times New Roman" w:cs="Times New Roman"/>
          <w:b/>
          <w:bCs/>
          <w:kern w:val="0"/>
          <w:sz w:val="27"/>
          <w:szCs w:val="27"/>
          <w:lang w:eastAsia="en-GB"/>
          <w14:ligatures w14:val="none"/>
        </w:rPr>
        <w:t>Advantages of the Integrated Model</w:t>
      </w:r>
    </w:p>
    <w:p w14:paraId="4BFE6E5F" w14:textId="77777777" w:rsidR="00AD4330" w:rsidRPr="00AD4330" w:rsidRDefault="00AD4330" w:rsidP="00AD4330">
      <w:p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kern w:val="0"/>
          <w:lang w:eastAsia="en-GB"/>
          <w14:ligatures w14:val="none"/>
        </w:rPr>
        <w:t>This restructured curriculum offers several advantages:</w:t>
      </w:r>
    </w:p>
    <w:p w14:paraId="7ADD1D6E" w14:textId="415B410D" w:rsidR="00AD4330" w:rsidRPr="00AD4330" w:rsidRDefault="00AD4330" w:rsidP="00AD4330">
      <w:pPr>
        <w:numPr>
          <w:ilvl w:val="0"/>
          <w:numId w:val="2"/>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Enhanced Continuity and Integration</w:t>
      </w:r>
      <w:r w:rsidRPr="00AD4330">
        <w:rPr>
          <w:rFonts w:ascii="Times New Roman" w:eastAsia="Times New Roman" w:hAnsi="Times New Roman" w:cs="Times New Roman"/>
          <w:kern w:val="0"/>
          <w:lang w:eastAsia="en-GB"/>
          <w14:ligatures w14:val="none"/>
        </w:rPr>
        <w:t xml:space="preserve">: By aligning pathology and microbiology content with the stages of medical education, students experience a seamless </w:t>
      </w:r>
      <w:r w:rsidRPr="00AD4330">
        <w:rPr>
          <w:rFonts w:ascii="Times New Roman" w:eastAsia="Times New Roman" w:hAnsi="Times New Roman" w:cs="Times New Roman"/>
          <w:kern w:val="0"/>
          <w:lang w:eastAsia="en-GB"/>
          <w14:ligatures w14:val="none"/>
        </w:rPr>
        <w:lastRenderedPageBreak/>
        <w:t>progression from basic sciences to clinical practice</w:t>
      </w:r>
      <w:r w:rsidR="0036345A">
        <w:rPr>
          <w:rFonts w:ascii="Times New Roman" w:eastAsia="Times New Roman" w:hAnsi="Times New Roman" w:cs="Times New Roman"/>
          <w:kern w:val="0"/>
          <w:lang w:eastAsia="en-GB"/>
          <w14:ligatures w14:val="none"/>
        </w:rPr>
        <w:t xml:space="preserve"> (4)</w:t>
      </w:r>
      <w:r w:rsidRPr="00AD4330">
        <w:rPr>
          <w:rFonts w:ascii="Times New Roman" w:eastAsia="Times New Roman" w:hAnsi="Times New Roman" w:cs="Times New Roman"/>
          <w:kern w:val="0"/>
          <w:lang w:eastAsia="en-GB"/>
          <w14:ligatures w14:val="none"/>
        </w:rPr>
        <w:t>. This continuity fosters a deeper understanding and retention of knowledge.</w:t>
      </w:r>
    </w:p>
    <w:p w14:paraId="0FBF0CE2" w14:textId="7DEC5F86" w:rsidR="00AD4330" w:rsidRPr="00AD4330" w:rsidRDefault="00AD4330" w:rsidP="00AD4330">
      <w:pPr>
        <w:numPr>
          <w:ilvl w:val="0"/>
          <w:numId w:val="2"/>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Practical Application of Knowledge</w:t>
      </w:r>
      <w:r w:rsidRPr="00AD4330">
        <w:rPr>
          <w:rFonts w:ascii="Times New Roman" w:eastAsia="Times New Roman" w:hAnsi="Times New Roman" w:cs="Times New Roman"/>
          <w:kern w:val="0"/>
          <w:lang w:eastAsia="en-GB"/>
          <w14:ligatures w14:val="none"/>
        </w:rPr>
        <w:t>: Introducing laboratory medicine as a clinical clerkship in the fourth year allows students to apply theoretical concepts in real-world scenarios</w:t>
      </w:r>
      <w:r w:rsidR="0036345A">
        <w:rPr>
          <w:rFonts w:ascii="Times New Roman" w:eastAsia="Times New Roman" w:hAnsi="Times New Roman" w:cs="Times New Roman"/>
          <w:kern w:val="0"/>
          <w:lang w:eastAsia="en-GB"/>
          <w14:ligatures w14:val="none"/>
        </w:rPr>
        <w:t>(5)</w:t>
      </w:r>
      <w:r w:rsidRPr="00AD4330">
        <w:rPr>
          <w:rFonts w:ascii="Times New Roman" w:eastAsia="Times New Roman" w:hAnsi="Times New Roman" w:cs="Times New Roman"/>
          <w:kern w:val="0"/>
          <w:lang w:eastAsia="en-GB"/>
          <w14:ligatures w14:val="none"/>
        </w:rPr>
        <w:t>. This hands-on experience is crucial for developing practical skills and clinical acumen.</w:t>
      </w:r>
    </w:p>
    <w:p w14:paraId="2F5E00C3" w14:textId="4D213510" w:rsidR="00AD4330" w:rsidRPr="00AD4330" w:rsidRDefault="00AD4330" w:rsidP="00AD4330">
      <w:pPr>
        <w:numPr>
          <w:ilvl w:val="0"/>
          <w:numId w:val="2"/>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Improved Assessment and Feedback</w:t>
      </w:r>
      <w:r w:rsidRPr="00AD4330">
        <w:rPr>
          <w:rFonts w:ascii="Times New Roman" w:eastAsia="Times New Roman" w:hAnsi="Times New Roman" w:cs="Times New Roman"/>
          <w:kern w:val="0"/>
          <w:lang w:eastAsia="en-GB"/>
          <w14:ligatures w14:val="none"/>
        </w:rPr>
        <w:t>: Regular assessments at the end of each stage provide timely feedback, enabling students to identify and address knowledge gaps early</w:t>
      </w:r>
      <w:r w:rsidR="0036345A">
        <w:rPr>
          <w:rFonts w:ascii="Times New Roman" w:eastAsia="Times New Roman" w:hAnsi="Times New Roman" w:cs="Times New Roman"/>
          <w:kern w:val="0"/>
          <w:lang w:eastAsia="en-GB"/>
          <w14:ligatures w14:val="none"/>
        </w:rPr>
        <w:t>(6)</w:t>
      </w:r>
      <w:r w:rsidRPr="00AD4330">
        <w:rPr>
          <w:rFonts w:ascii="Times New Roman" w:eastAsia="Times New Roman" w:hAnsi="Times New Roman" w:cs="Times New Roman"/>
          <w:kern w:val="0"/>
          <w:lang w:eastAsia="en-GB"/>
          <w14:ligatures w14:val="none"/>
        </w:rPr>
        <w:t>. This iterative process ensures that they are well-prepared for subsequent challenges.</w:t>
      </w:r>
    </w:p>
    <w:p w14:paraId="444FF755" w14:textId="77777777" w:rsidR="00AD4330" w:rsidRPr="00AD4330" w:rsidRDefault="00AD4330" w:rsidP="00AD4330">
      <w:pPr>
        <w:numPr>
          <w:ilvl w:val="0"/>
          <w:numId w:val="2"/>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Bridging the Theory-Practice Gap</w:t>
      </w:r>
      <w:r w:rsidRPr="00AD4330">
        <w:rPr>
          <w:rFonts w:ascii="Times New Roman" w:eastAsia="Times New Roman" w:hAnsi="Times New Roman" w:cs="Times New Roman"/>
          <w:kern w:val="0"/>
          <w:lang w:eastAsia="en-GB"/>
          <w14:ligatures w14:val="none"/>
        </w:rPr>
        <w:t>: Transitioning special pathology into laboratory medicine emphasizes the relevance of pathology in clinical settings. This approach not only enhances learning but also prepares students for the interdisciplinary nature of modern medical practice.</w:t>
      </w:r>
    </w:p>
    <w:p w14:paraId="4AD03E16" w14:textId="77777777" w:rsidR="00AD4330" w:rsidRPr="00AD4330" w:rsidRDefault="00AD4330" w:rsidP="00AD4330">
      <w:pPr>
        <w:spacing w:before="100" w:beforeAutospacing="1" w:after="100" w:afterAutospacing="1" w:line="480" w:lineRule="auto"/>
        <w:jc w:val="both"/>
        <w:outlineLvl w:val="2"/>
        <w:rPr>
          <w:rFonts w:ascii="Times New Roman" w:eastAsia="Times New Roman" w:hAnsi="Times New Roman" w:cs="Times New Roman"/>
          <w:b/>
          <w:bCs/>
          <w:kern w:val="0"/>
          <w:sz w:val="27"/>
          <w:szCs w:val="27"/>
          <w:lang w:eastAsia="en-GB"/>
          <w14:ligatures w14:val="none"/>
        </w:rPr>
      </w:pPr>
      <w:r w:rsidRPr="00AD4330">
        <w:rPr>
          <w:rFonts w:ascii="Times New Roman" w:eastAsia="Times New Roman" w:hAnsi="Times New Roman" w:cs="Times New Roman"/>
          <w:b/>
          <w:bCs/>
          <w:kern w:val="0"/>
          <w:sz w:val="27"/>
          <w:szCs w:val="27"/>
          <w:lang w:eastAsia="en-GB"/>
          <w14:ligatures w14:val="none"/>
        </w:rPr>
        <w:t>Implementing the New Curriculum</w:t>
      </w:r>
    </w:p>
    <w:p w14:paraId="31EAB366" w14:textId="77777777" w:rsidR="00AD4330" w:rsidRPr="00AD4330" w:rsidRDefault="00AD4330" w:rsidP="00AD4330">
      <w:p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kern w:val="0"/>
          <w:lang w:eastAsia="en-GB"/>
          <w14:ligatures w14:val="none"/>
        </w:rPr>
        <w:t>Successful implementation of this integrated curriculum requires collaboration among faculty, administrators, and clinical partners. Key steps include:</w:t>
      </w:r>
    </w:p>
    <w:p w14:paraId="13F12EFE" w14:textId="77777777" w:rsidR="00AD4330" w:rsidRPr="00AD4330" w:rsidRDefault="00AD4330" w:rsidP="00AD4330">
      <w:pPr>
        <w:numPr>
          <w:ilvl w:val="0"/>
          <w:numId w:val="3"/>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Curriculum Development</w:t>
      </w:r>
      <w:r w:rsidRPr="00AD4330">
        <w:rPr>
          <w:rFonts w:ascii="Times New Roman" w:eastAsia="Times New Roman" w:hAnsi="Times New Roman" w:cs="Times New Roman"/>
          <w:kern w:val="0"/>
          <w:lang w:eastAsia="en-GB"/>
          <w14:ligatures w14:val="none"/>
        </w:rPr>
        <w:t>: Redesign course content to reflect the new distribution, ensuring alignment with educational goals and clinical requirements.</w:t>
      </w:r>
    </w:p>
    <w:p w14:paraId="26A47F12" w14:textId="77777777" w:rsidR="00AD4330" w:rsidRPr="00AD4330" w:rsidRDefault="00AD4330" w:rsidP="00AD4330">
      <w:pPr>
        <w:numPr>
          <w:ilvl w:val="0"/>
          <w:numId w:val="3"/>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Faculty Training</w:t>
      </w:r>
      <w:r w:rsidRPr="00AD4330">
        <w:rPr>
          <w:rFonts w:ascii="Times New Roman" w:eastAsia="Times New Roman" w:hAnsi="Times New Roman" w:cs="Times New Roman"/>
          <w:kern w:val="0"/>
          <w:lang w:eastAsia="en-GB"/>
          <w14:ligatures w14:val="none"/>
        </w:rPr>
        <w:t>: Equip educators with the skills and knowledge needed to deliver the integrated curriculum effectively, emphasizing interdisciplinary teaching methods.</w:t>
      </w:r>
    </w:p>
    <w:p w14:paraId="0FABA33E" w14:textId="77777777" w:rsidR="00AD4330" w:rsidRPr="00AD4330" w:rsidRDefault="00AD4330" w:rsidP="00AD4330">
      <w:pPr>
        <w:numPr>
          <w:ilvl w:val="0"/>
          <w:numId w:val="3"/>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t>Clinical Partnerships</w:t>
      </w:r>
      <w:r w:rsidRPr="00AD4330">
        <w:rPr>
          <w:rFonts w:ascii="Times New Roman" w:eastAsia="Times New Roman" w:hAnsi="Times New Roman" w:cs="Times New Roman"/>
          <w:kern w:val="0"/>
          <w:lang w:eastAsia="en-GB"/>
          <w14:ligatures w14:val="none"/>
        </w:rPr>
        <w:t>: Establish strong collaborations with clinical laboratories and healthcare facilities to provide meaningful clerkship experiences.</w:t>
      </w:r>
    </w:p>
    <w:p w14:paraId="46A242DC" w14:textId="77777777" w:rsidR="00AD4330" w:rsidRPr="00AD4330" w:rsidRDefault="00AD4330" w:rsidP="00AD4330">
      <w:pPr>
        <w:numPr>
          <w:ilvl w:val="0"/>
          <w:numId w:val="3"/>
        </w:num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b/>
          <w:bCs/>
          <w:kern w:val="0"/>
          <w:lang w:eastAsia="en-GB"/>
          <w14:ligatures w14:val="none"/>
        </w:rPr>
        <w:lastRenderedPageBreak/>
        <w:t>Continuous Evaluation</w:t>
      </w:r>
      <w:r w:rsidRPr="00AD4330">
        <w:rPr>
          <w:rFonts w:ascii="Times New Roman" w:eastAsia="Times New Roman" w:hAnsi="Times New Roman" w:cs="Times New Roman"/>
          <w:kern w:val="0"/>
          <w:lang w:eastAsia="en-GB"/>
          <w14:ligatures w14:val="none"/>
        </w:rPr>
        <w:t>: Monitor and evaluate the curriculum’s effectiveness regularly, making adjustments based on feedback from students, educators, and clinical partners.</w:t>
      </w:r>
    </w:p>
    <w:p w14:paraId="59EBDABF" w14:textId="77777777" w:rsidR="00AD4330" w:rsidRPr="00AD4330" w:rsidRDefault="00AD4330" w:rsidP="00AD4330">
      <w:pPr>
        <w:spacing w:before="100" w:beforeAutospacing="1" w:after="100" w:afterAutospacing="1" w:line="480" w:lineRule="auto"/>
        <w:jc w:val="both"/>
        <w:outlineLvl w:val="2"/>
        <w:rPr>
          <w:rFonts w:ascii="Times New Roman" w:eastAsia="Times New Roman" w:hAnsi="Times New Roman" w:cs="Times New Roman"/>
          <w:b/>
          <w:bCs/>
          <w:kern w:val="0"/>
          <w:sz w:val="27"/>
          <w:szCs w:val="27"/>
          <w:lang w:eastAsia="en-GB"/>
          <w14:ligatures w14:val="none"/>
        </w:rPr>
      </w:pPr>
      <w:r w:rsidRPr="00AD4330">
        <w:rPr>
          <w:rFonts w:ascii="Times New Roman" w:eastAsia="Times New Roman" w:hAnsi="Times New Roman" w:cs="Times New Roman"/>
          <w:b/>
          <w:bCs/>
          <w:kern w:val="0"/>
          <w:sz w:val="27"/>
          <w:szCs w:val="27"/>
          <w:lang w:eastAsia="en-GB"/>
          <w14:ligatures w14:val="none"/>
        </w:rPr>
        <w:t>Conclusion</w:t>
      </w:r>
    </w:p>
    <w:p w14:paraId="4833AFA5" w14:textId="77777777" w:rsidR="00AD4330" w:rsidRDefault="00AD4330" w:rsidP="00AD4330">
      <w:pPr>
        <w:spacing w:before="100" w:beforeAutospacing="1" w:after="100" w:afterAutospacing="1" w:line="480" w:lineRule="auto"/>
        <w:jc w:val="both"/>
        <w:rPr>
          <w:rFonts w:ascii="Times New Roman" w:eastAsia="Times New Roman" w:hAnsi="Times New Roman" w:cs="Times New Roman"/>
          <w:kern w:val="0"/>
          <w:lang w:eastAsia="en-GB"/>
          <w14:ligatures w14:val="none"/>
        </w:rPr>
      </w:pPr>
      <w:r w:rsidRPr="00AD4330">
        <w:rPr>
          <w:rFonts w:ascii="Times New Roman" w:eastAsia="Times New Roman" w:hAnsi="Times New Roman" w:cs="Times New Roman"/>
          <w:kern w:val="0"/>
          <w:lang w:eastAsia="en-GB"/>
          <w14:ligatures w14:val="none"/>
        </w:rPr>
        <w:t>Integrating special pathology and laboratory medicine into the 4th year MBBS clerkship model represents a forward-thinking approach to medical education. By realigning the curriculum and assessments, we can bridge the gap between basic sciences and clinical practice, producing well-prepared, competent physicians ready to meet the demands of modern healthcare. This strategic realignment not only enhances the educational experience but also ensures that our future doctors are equipped with the knowledge and skills necessary to excel in their careers.</w:t>
      </w:r>
    </w:p>
    <w:p w14:paraId="1448A589" w14:textId="32BF88CE" w:rsidR="00AD4330" w:rsidRPr="00AD4330" w:rsidRDefault="00AD4330" w:rsidP="00AD4330">
      <w:pPr>
        <w:spacing w:before="100" w:beforeAutospacing="1" w:after="100" w:afterAutospacing="1" w:line="480" w:lineRule="auto"/>
        <w:jc w:val="both"/>
        <w:rPr>
          <w:rFonts w:ascii="Times New Roman" w:eastAsia="Times New Roman" w:hAnsi="Times New Roman" w:cs="Times New Roman"/>
          <w:b/>
          <w:bCs/>
          <w:kern w:val="0"/>
          <w:lang w:eastAsia="en-GB"/>
          <w14:ligatures w14:val="none"/>
        </w:rPr>
      </w:pPr>
      <w:r w:rsidRPr="00AD4330">
        <w:rPr>
          <w:rFonts w:ascii="Times New Roman" w:eastAsia="Times New Roman" w:hAnsi="Times New Roman" w:cs="Times New Roman"/>
          <w:b/>
          <w:bCs/>
          <w:kern w:val="0"/>
          <w:lang w:eastAsia="en-GB"/>
          <w14:ligatures w14:val="none"/>
        </w:rPr>
        <w:t>References:</w:t>
      </w:r>
    </w:p>
    <w:p w14:paraId="16C25196" w14:textId="2E011AD0" w:rsidR="002652C8" w:rsidRPr="00AD4330" w:rsidRDefault="00AD4330" w:rsidP="00AD4330">
      <w:pPr>
        <w:pStyle w:val="ListParagraph"/>
        <w:numPr>
          <w:ilvl w:val="0"/>
          <w:numId w:val="4"/>
        </w:numPr>
        <w:spacing w:line="480" w:lineRule="auto"/>
        <w:jc w:val="both"/>
        <w:rPr>
          <w:rFonts w:ascii="Arial" w:hAnsi="Arial" w:cs="Arial"/>
          <w:color w:val="222222"/>
          <w:sz w:val="20"/>
          <w:szCs w:val="20"/>
          <w:shd w:val="clear" w:color="auto" w:fill="FFFFFF"/>
        </w:rPr>
      </w:pPr>
      <w:r w:rsidRPr="00AD4330">
        <w:rPr>
          <w:rFonts w:ascii="Arial" w:hAnsi="Arial" w:cs="Arial"/>
          <w:color w:val="222222"/>
          <w:sz w:val="20"/>
          <w:szCs w:val="20"/>
          <w:shd w:val="clear" w:color="auto" w:fill="FFFFFF"/>
        </w:rPr>
        <w:t>Lew M. Increasing medical student exposure to pathology by creating an integrated rotation during surgery clerkship. Academic Pathology. 2021 May 10;8:23742895211015344.</w:t>
      </w:r>
    </w:p>
    <w:p w14:paraId="077B8B35" w14:textId="77777777" w:rsidR="00AD4330" w:rsidRDefault="00AD4330" w:rsidP="00AD4330">
      <w:pPr>
        <w:spacing w:line="480" w:lineRule="auto"/>
        <w:jc w:val="both"/>
        <w:rPr>
          <w:rFonts w:ascii="Arial" w:hAnsi="Arial" w:cs="Arial"/>
          <w:color w:val="222222"/>
          <w:sz w:val="20"/>
          <w:szCs w:val="20"/>
          <w:shd w:val="clear" w:color="auto" w:fill="FFFFFF"/>
        </w:rPr>
      </w:pPr>
    </w:p>
    <w:p w14:paraId="3D304BCE" w14:textId="4B2BF4C7" w:rsidR="00AD4330" w:rsidRPr="00AD4330" w:rsidRDefault="00AD4330" w:rsidP="00AD4330">
      <w:pPr>
        <w:pStyle w:val="ListParagraph"/>
        <w:numPr>
          <w:ilvl w:val="0"/>
          <w:numId w:val="4"/>
        </w:numPr>
        <w:spacing w:line="480" w:lineRule="auto"/>
        <w:jc w:val="both"/>
        <w:rPr>
          <w:rFonts w:ascii="Arial" w:hAnsi="Arial" w:cs="Arial"/>
          <w:color w:val="222222"/>
          <w:sz w:val="20"/>
          <w:szCs w:val="20"/>
          <w:shd w:val="clear" w:color="auto" w:fill="FFFFFF"/>
        </w:rPr>
      </w:pPr>
      <w:r w:rsidRPr="00AD4330">
        <w:rPr>
          <w:rFonts w:ascii="Arial" w:hAnsi="Arial" w:cs="Arial"/>
          <w:color w:val="222222"/>
          <w:sz w:val="20"/>
          <w:szCs w:val="20"/>
          <w:shd w:val="clear" w:color="auto" w:fill="FFFFFF"/>
        </w:rPr>
        <w:t>Krasowski MD, Blau JL, Chen SJ, Jones KA, Schmidt TJ, Bruch LA. Teaching pathology in an integrated preclinical medical school curriculum and adaptations to COVID-19 restrictions. Academic pathology. 2021 May 18;8:23742895211015337.</w:t>
      </w:r>
    </w:p>
    <w:p w14:paraId="0B5BB262" w14:textId="77777777" w:rsidR="00AD4330" w:rsidRDefault="00AD4330" w:rsidP="00AD4330">
      <w:pPr>
        <w:spacing w:line="480" w:lineRule="auto"/>
        <w:jc w:val="both"/>
        <w:rPr>
          <w:rFonts w:ascii="Arial" w:hAnsi="Arial" w:cs="Arial"/>
          <w:color w:val="222222"/>
          <w:sz w:val="20"/>
          <w:szCs w:val="20"/>
          <w:shd w:val="clear" w:color="auto" w:fill="FFFFFF"/>
        </w:rPr>
      </w:pPr>
    </w:p>
    <w:p w14:paraId="4C46729D" w14:textId="27626763" w:rsidR="00AD4330" w:rsidRPr="00AD4330" w:rsidRDefault="00AD4330" w:rsidP="00AD4330">
      <w:pPr>
        <w:pStyle w:val="ListParagraph"/>
        <w:numPr>
          <w:ilvl w:val="0"/>
          <w:numId w:val="4"/>
        </w:numPr>
        <w:spacing w:line="480" w:lineRule="auto"/>
        <w:jc w:val="both"/>
        <w:rPr>
          <w:rFonts w:ascii="Arial" w:hAnsi="Arial" w:cs="Arial"/>
          <w:color w:val="222222"/>
          <w:sz w:val="20"/>
          <w:szCs w:val="20"/>
          <w:shd w:val="clear" w:color="auto" w:fill="FFFFFF"/>
        </w:rPr>
      </w:pPr>
      <w:r w:rsidRPr="00AD4330">
        <w:rPr>
          <w:rFonts w:ascii="Arial" w:hAnsi="Arial" w:cs="Arial"/>
          <w:color w:val="222222"/>
          <w:sz w:val="20"/>
          <w:szCs w:val="20"/>
          <w:shd w:val="clear" w:color="auto" w:fill="FFFFFF"/>
        </w:rPr>
        <w:t>Butts CA, Speer JJ, Brady JJ, Stephenson RJ, Langenau E, DiTomasso R, Fresa K, Becker M, Sesso A. Introduction to clerkship: bridging the gap between preclinical and clinical medical education. Journal of Osteopathic Medicine. 2019 Sep 1;119(9):578-87.</w:t>
      </w:r>
    </w:p>
    <w:p w14:paraId="7156DBD7" w14:textId="77777777" w:rsidR="00AD4330" w:rsidRDefault="00AD4330" w:rsidP="00AD4330">
      <w:pPr>
        <w:spacing w:line="480" w:lineRule="auto"/>
        <w:jc w:val="both"/>
        <w:rPr>
          <w:rFonts w:ascii="Arial" w:hAnsi="Arial" w:cs="Arial"/>
          <w:color w:val="222222"/>
          <w:sz w:val="20"/>
          <w:szCs w:val="20"/>
          <w:shd w:val="clear" w:color="auto" w:fill="FFFFFF"/>
        </w:rPr>
      </w:pPr>
    </w:p>
    <w:p w14:paraId="2E92433E" w14:textId="51B99BE0" w:rsidR="00AD4330" w:rsidRPr="00AD4330" w:rsidRDefault="00AD4330" w:rsidP="00AD4330">
      <w:pPr>
        <w:pStyle w:val="ListParagraph"/>
        <w:numPr>
          <w:ilvl w:val="0"/>
          <w:numId w:val="4"/>
        </w:numPr>
        <w:spacing w:line="480" w:lineRule="auto"/>
        <w:jc w:val="both"/>
        <w:rPr>
          <w:rFonts w:ascii="Arial" w:hAnsi="Arial" w:cs="Arial"/>
          <w:color w:val="222222"/>
          <w:sz w:val="20"/>
          <w:szCs w:val="20"/>
          <w:shd w:val="clear" w:color="auto" w:fill="FFFFFF"/>
        </w:rPr>
      </w:pPr>
      <w:r w:rsidRPr="00AD4330">
        <w:rPr>
          <w:rFonts w:ascii="Arial" w:hAnsi="Arial" w:cs="Arial"/>
          <w:color w:val="222222"/>
          <w:sz w:val="20"/>
          <w:szCs w:val="20"/>
          <w:shd w:val="clear" w:color="auto" w:fill="FFFFFF"/>
        </w:rPr>
        <w:t>Koch LK, Chang OH, Dintzis SM. Medical education in pathology: general concepts and strategies for implementation. Archives of Pathology &amp; Laboratory Medicine. 2021 Sep 1;145(9):1081-8.</w:t>
      </w:r>
    </w:p>
    <w:p w14:paraId="4869DB7A" w14:textId="77777777" w:rsidR="00AD4330" w:rsidRDefault="00AD4330" w:rsidP="00AD4330">
      <w:pPr>
        <w:spacing w:line="480" w:lineRule="auto"/>
        <w:jc w:val="both"/>
        <w:rPr>
          <w:rFonts w:ascii="Arial" w:hAnsi="Arial" w:cs="Arial"/>
          <w:color w:val="222222"/>
          <w:sz w:val="20"/>
          <w:szCs w:val="20"/>
          <w:shd w:val="clear" w:color="auto" w:fill="FFFFFF"/>
        </w:rPr>
      </w:pPr>
    </w:p>
    <w:p w14:paraId="7DA167E3" w14:textId="37136C9A" w:rsidR="00AD4330" w:rsidRPr="00AD4330" w:rsidRDefault="00AD4330" w:rsidP="00AD4330">
      <w:pPr>
        <w:pStyle w:val="ListParagraph"/>
        <w:numPr>
          <w:ilvl w:val="0"/>
          <w:numId w:val="4"/>
        </w:numPr>
        <w:spacing w:line="480" w:lineRule="auto"/>
        <w:jc w:val="both"/>
        <w:rPr>
          <w:rFonts w:ascii="Arial" w:hAnsi="Arial" w:cs="Arial"/>
          <w:color w:val="222222"/>
          <w:sz w:val="20"/>
          <w:szCs w:val="20"/>
          <w:shd w:val="clear" w:color="auto" w:fill="FFFFFF"/>
        </w:rPr>
      </w:pPr>
      <w:r w:rsidRPr="00AD4330">
        <w:rPr>
          <w:rFonts w:ascii="Arial" w:hAnsi="Arial" w:cs="Arial"/>
          <w:color w:val="222222"/>
          <w:sz w:val="20"/>
          <w:szCs w:val="20"/>
          <w:shd w:val="clear" w:color="auto" w:fill="FFFFFF"/>
        </w:rPr>
        <w:lastRenderedPageBreak/>
        <w:t>MacLellan AM, Brailovsky C, Miller F, Leboeuf S. Clerkship pathway: a factor in certification success for international medical graduates. Canadian Family Physician. 2012 Jun 1;58(6):662-7.</w:t>
      </w:r>
    </w:p>
    <w:p w14:paraId="38BE8967" w14:textId="77777777" w:rsidR="00AD4330" w:rsidRDefault="00AD4330" w:rsidP="00AD4330">
      <w:pPr>
        <w:spacing w:line="480" w:lineRule="auto"/>
        <w:jc w:val="both"/>
        <w:rPr>
          <w:rFonts w:ascii="Arial" w:hAnsi="Arial" w:cs="Arial"/>
          <w:color w:val="222222"/>
          <w:sz w:val="20"/>
          <w:szCs w:val="20"/>
          <w:shd w:val="clear" w:color="auto" w:fill="FFFFFF"/>
        </w:rPr>
      </w:pPr>
    </w:p>
    <w:p w14:paraId="17030AE0" w14:textId="27104DD0" w:rsidR="00AD4330" w:rsidRDefault="00AD4330" w:rsidP="00AD4330">
      <w:pPr>
        <w:pStyle w:val="ListParagraph"/>
        <w:numPr>
          <w:ilvl w:val="0"/>
          <w:numId w:val="4"/>
        </w:numPr>
        <w:spacing w:line="480" w:lineRule="auto"/>
        <w:jc w:val="both"/>
      </w:pPr>
      <w:r w:rsidRPr="00AD4330">
        <w:rPr>
          <w:rFonts w:ascii="Arial" w:hAnsi="Arial" w:cs="Arial"/>
          <w:color w:val="222222"/>
          <w:sz w:val="20"/>
          <w:szCs w:val="20"/>
          <w:shd w:val="clear" w:color="auto" w:fill="FFFFFF"/>
        </w:rPr>
        <w:t>Yen-Ju Lin B, Liu PC, Ku KT, Lee CC. Adaptation of medical students during clinical training: effects of holistic preclinical education on clerkship performance. Teaching and Learning in Medicine. 2019 Jan 1;31(1):65-75.</w:t>
      </w:r>
    </w:p>
    <w:sectPr w:rsidR="00AD433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D87E54"/>
    <w:multiLevelType w:val="multilevel"/>
    <w:tmpl w:val="818658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C9D46E2"/>
    <w:multiLevelType w:val="multilevel"/>
    <w:tmpl w:val="24A4FA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E0A62FA"/>
    <w:multiLevelType w:val="multilevel"/>
    <w:tmpl w:val="9AA8C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B3E4EA3"/>
    <w:multiLevelType w:val="hybridMultilevel"/>
    <w:tmpl w:val="FC2CB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5971494">
    <w:abstractNumId w:val="0"/>
  </w:num>
  <w:num w:numId="2" w16cid:durableId="210463586">
    <w:abstractNumId w:val="1"/>
  </w:num>
  <w:num w:numId="3" w16cid:durableId="1060834317">
    <w:abstractNumId w:val="2"/>
  </w:num>
  <w:num w:numId="4" w16cid:durableId="152024194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4"/>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4330"/>
    <w:rsid w:val="00004C83"/>
    <w:rsid w:val="002652C8"/>
    <w:rsid w:val="0036345A"/>
    <w:rsid w:val="00597455"/>
    <w:rsid w:val="00704A93"/>
    <w:rsid w:val="009973AA"/>
    <w:rsid w:val="00AD4330"/>
    <w:rsid w:val="00B44491"/>
    <w:rsid w:val="00B465A2"/>
  </w:rsids>
  <m:mathPr>
    <m:mathFont m:val="Cambria Math"/>
    <m:brkBin m:val="before"/>
    <m:brkBinSub m:val="--"/>
    <m:smallFrac m:val="0"/>
    <m:dispDef/>
    <m:lMargin m:val="0"/>
    <m:rMargin m:val="0"/>
    <m:defJc m:val="centerGroup"/>
    <m:wrapIndent m:val="1440"/>
    <m:intLim m:val="subSup"/>
    <m:naryLim m:val="undOvr"/>
  </m:mathPr>
  <w:themeFontLang w:val="en-PK"/>
  <w:clrSchemeMapping w:bg1="light1" w:t1="dark1" w:bg2="light2" w:t2="dark2" w:accent1="accent1" w:accent2="accent2" w:accent3="accent3" w:accent4="accent4" w:accent5="accent5" w:accent6="accent6" w:hyperlink="hyperlink" w:followedHyperlink="followedHyperlink"/>
  <w:decimalSymbol w:val="."/>
  <w:listSeparator w:val=","/>
  <w14:docId w14:val="2BEBF104"/>
  <w15:chartTrackingRefBased/>
  <w15:docId w15:val="{7A5ACB8E-665F-9A44-B439-535ABE0ED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P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D433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D433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AD433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D433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D433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D433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D433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D433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D433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433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D433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AD433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D433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D433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D433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D433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D433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D4330"/>
    <w:rPr>
      <w:rFonts w:eastAsiaTheme="majorEastAsia" w:cstheme="majorBidi"/>
      <w:color w:val="272727" w:themeColor="text1" w:themeTint="D8"/>
    </w:rPr>
  </w:style>
  <w:style w:type="paragraph" w:styleId="Title">
    <w:name w:val="Title"/>
    <w:basedOn w:val="Normal"/>
    <w:next w:val="Normal"/>
    <w:link w:val="TitleChar"/>
    <w:uiPriority w:val="10"/>
    <w:qFormat/>
    <w:rsid w:val="00AD433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433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D4330"/>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D433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D433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D4330"/>
    <w:rPr>
      <w:i/>
      <w:iCs/>
      <w:color w:val="404040" w:themeColor="text1" w:themeTint="BF"/>
    </w:rPr>
  </w:style>
  <w:style w:type="paragraph" w:styleId="ListParagraph">
    <w:name w:val="List Paragraph"/>
    <w:basedOn w:val="Normal"/>
    <w:uiPriority w:val="34"/>
    <w:qFormat/>
    <w:rsid w:val="00AD4330"/>
    <w:pPr>
      <w:ind w:left="720"/>
      <w:contextualSpacing/>
    </w:pPr>
  </w:style>
  <w:style w:type="character" w:styleId="IntenseEmphasis">
    <w:name w:val="Intense Emphasis"/>
    <w:basedOn w:val="DefaultParagraphFont"/>
    <w:uiPriority w:val="21"/>
    <w:qFormat/>
    <w:rsid w:val="00AD4330"/>
    <w:rPr>
      <w:i/>
      <w:iCs/>
      <w:color w:val="0F4761" w:themeColor="accent1" w:themeShade="BF"/>
    </w:rPr>
  </w:style>
  <w:style w:type="paragraph" w:styleId="IntenseQuote">
    <w:name w:val="Intense Quote"/>
    <w:basedOn w:val="Normal"/>
    <w:next w:val="Normal"/>
    <w:link w:val="IntenseQuoteChar"/>
    <w:uiPriority w:val="30"/>
    <w:qFormat/>
    <w:rsid w:val="00AD43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D4330"/>
    <w:rPr>
      <w:i/>
      <w:iCs/>
      <w:color w:val="0F4761" w:themeColor="accent1" w:themeShade="BF"/>
    </w:rPr>
  </w:style>
  <w:style w:type="character" w:styleId="IntenseReference">
    <w:name w:val="Intense Reference"/>
    <w:basedOn w:val="DefaultParagraphFont"/>
    <w:uiPriority w:val="32"/>
    <w:qFormat/>
    <w:rsid w:val="00AD4330"/>
    <w:rPr>
      <w:b/>
      <w:bCs/>
      <w:smallCaps/>
      <w:color w:val="0F4761" w:themeColor="accent1" w:themeShade="BF"/>
      <w:spacing w:val="5"/>
    </w:rPr>
  </w:style>
  <w:style w:type="paragraph" w:styleId="NormalWeb">
    <w:name w:val="Normal (Web)"/>
    <w:basedOn w:val="Normal"/>
    <w:uiPriority w:val="99"/>
    <w:semiHidden/>
    <w:unhideWhenUsed/>
    <w:rsid w:val="00AD4330"/>
    <w:pPr>
      <w:spacing w:before="100" w:beforeAutospacing="1" w:after="100" w:afterAutospacing="1"/>
    </w:pPr>
    <w:rPr>
      <w:rFonts w:ascii="Times New Roman" w:eastAsia="Times New Roman" w:hAnsi="Times New Roman" w:cs="Times New Roman"/>
      <w:kern w:val="0"/>
      <w:lang w:eastAsia="en-GB"/>
      <w14:ligatures w14:val="none"/>
    </w:rPr>
  </w:style>
  <w:style w:type="character" w:styleId="Strong">
    <w:name w:val="Strong"/>
    <w:basedOn w:val="DefaultParagraphFont"/>
    <w:uiPriority w:val="22"/>
    <w:qFormat/>
    <w:rsid w:val="00AD433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4716568">
      <w:bodyDiv w:val="1"/>
      <w:marLeft w:val="0"/>
      <w:marRight w:val="0"/>
      <w:marTop w:val="0"/>
      <w:marBottom w:val="0"/>
      <w:divBdr>
        <w:top w:val="none" w:sz="0" w:space="0" w:color="auto"/>
        <w:left w:val="none" w:sz="0" w:space="0" w:color="auto"/>
        <w:bottom w:val="none" w:sz="0" w:space="0" w:color="auto"/>
        <w:right w:val="none" w:sz="0" w:space="0" w:color="auto"/>
      </w:divBdr>
      <w:divsChild>
        <w:div w:id="345792450">
          <w:marLeft w:val="0"/>
          <w:marRight w:val="0"/>
          <w:marTop w:val="0"/>
          <w:marBottom w:val="0"/>
          <w:divBdr>
            <w:top w:val="none" w:sz="0" w:space="0" w:color="auto"/>
            <w:left w:val="none" w:sz="0" w:space="0" w:color="auto"/>
            <w:bottom w:val="none" w:sz="0" w:space="0" w:color="auto"/>
            <w:right w:val="none" w:sz="0" w:space="0" w:color="auto"/>
          </w:divBdr>
          <w:divsChild>
            <w:div w:id="1922564176">
              <w:marLeft w:val="0"/>
              <w:marRight w:val="0"/>
              <w:marTop w:val="0"/>
              <w:marBottom w:val="0"/>
              <w:divBdr>
                <w:top w:val="none" w:sz="0" w:space="0" w:color="auto"/>
                <w:left w:val="none" w:sz="0" w:space="0" w:color="auto"/>
                <w:bottom w:val="none" w:sz="0" w:space="0" w:color="auto"/>
                <w:right w:val="none" w:sz="0" w:space="0" w:color="auto"/>
              </w:divBdr>
              <w:divsChild>
                <w:div w:id="1351831217">
                  <w:marLeft w:val="0"/>
                  <w:marRight w:val="0"/>
                  <w:marTop w:val="0"/>
                  <w:marBottom w:val="0"/>
                  <w:divBdr>
                    <w:top w:val="none" w:sz="0" w:space="0" w:color="auto"/>
                    <w:left w:val="none" w:sz="0" w:space="0" w:color="auto"/>
                    <w:bottom w:val="none" w:sz="0" w:space="0" w:color="auto"/>
                    <w:right w:val="none" w:sz="0" w:space="0" w:color="auto"/>
                  </w:divBdr>
                  <w:divsChild>
                    <w:div w:id="859393769">
                      <w:marLeft w:val="0"/>
                      <w:marRight w:val="0"/>
                      <w:marTop w:val="0"/>
                      <w:marBottom w:val="0"/>
                      <w:divBdr>
                        <w:top w:val="none" w:sz="0" w:space="0" w:color="auto"/>
                        <w:left w:val="none" w:sz="0" w:space="0" w:color="auto"/>
                        <w:bottom w:val="none" w:sz="0" w:space="0" w:color="auto"/>
                        <w:right w:val="none" w:sz="0" w:space="0" w:color="auto"/>
                      </w:divBdr>
                      <w:divsChild>
                        <w:div w:id="489520648">
                          <w:marLeft w:val="0"/>
                          <w:marRight w:val="0"/>
                          <w:marTop w:val="0"/>
                          <w:marBottom w:val="0"/>
                          <w:divBdr>
                            <w:top w:val="none" w:sz="0" w:space="0" w:color="auto"/>
                            <w:left w:val="none" w:sz="0" w:space="0" w:color="auto"/>
                            <w:bottom w:val="none" w:sz="0" w:space="0" w:color="auto"/>
                            <w:right w:val="none" w:sz="0" w:space="0" w:color="auto"/>
                          </w:divBdr>
                          <w:divsChild>
                            <w:div w:id="190344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936</Words>
  <Characters>5336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wafa omer</dc:creator>
  <cp:keywords/>
  <dc:description/>
  <cp:lastModifiedBy>wafa omer</cp:lastModifiedBy>
  <cp:revision>2</cp:revision>
  <dcterms:created xsi:type="dcterms:W3CDTF">2024-07-22T04:53:00Z</dcterms:created>
  <dcterms:modified xsi:type="dcterms:W3CDTF">2024-07-22T04:53:00Z</dcterms:modified>
</cp:coreProperties>
</file>